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山东大学优秀团干部审批表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赵桐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1996.03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drawing>
                <wp:inline distT="0" distB="0" distL="114300" distR="114300">
                  <wp:extent cx="776605" cy="1111250"/>
                  <wp:effectExtent l="0" t="0" r="4445" b="12700"/>
                  <wp:docPr id="1" name="图片 1" descr="QQ图片20170301155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17030115583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预备党员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17865192887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山东大学法学院14.3团支部书记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0"/>
                <w:lang w:val="en-US" w:eastAsia="zh-CN"/>
              </w:rPr>
              <w:t>主要事迹：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2015年至今，担任法学院14级3班团支部书记。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在任期间，努力发展团支部，2015年将团支部从三级升级为二级，经过2016年的努力，团支部从二级升级为一级，并被推选为先进团支部。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思想上，以身作则，加强思想建设，积极加入中国共产党，并带动团支部其他群众向党组织靠拢。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学习上，起模范带头作用，学习成绩排名11/108，并通过双学位学习充实自己。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工作上，参与组织团支部开展洪家楼第三小学支教、百花公园志愿服务活动；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组织团支部开展洪家楼社区服务活动，开展法学知识进社区志愿服务；策划男生节、女生节活动，协助管理班级各项事务。争创思想先进、学习积极、生活丰富的团支部。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生活中，与团支部其他成员相处融洽，乐于助人。</w:t>
            </w:r>
          </w:p>
          <w:p>
            <w:pPr>
              <w:rPr>
                <w:rFonts w:hint="eastAsia" w:ascii="宋体" w:hAnsi="宋体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获奖情况：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山东大学2015-2016年度社会实践活动先进个人。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法学院学生会2015-2016年度优秀干部。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法学院学生会2015-2016年度社团之星。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山东大学2015年度优秀共青团员。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山东大学“创青春”大学生创业大赛一等奖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山东大学2015-2016年度社会实践优秀团队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山东大学2015-2016年度优秀社会实践报告三等奖。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山东大学2015年度社会实践活动优秀团队。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山东大学志愿服务交流会暨首届志愿服务项目大赛铜奖。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法学院优秀社会实践团队。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“山大杯”辩论赛三等奖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山东大学第五届合唱文化艺术节三等奖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left="1212" w:leftChars="577" w:firstLine="480" w:firstLineChars="200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920" w:firstLineChars="20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color w:val="000000"/>
        </w:rPr>
      </w:pPr>
      <w:r>
        <w:rPr>
          <w:rFonts w:hint="eastAsia"/>
          <w:color w:val="000000"/>
          <w:sz w:val="24"/>
        </w:rPr>
        <w:t xml:space="preserve">                                             共青团山东大学委员会制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33E86"/>
    <w:rsid w:val="542239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2017-04-16T15:50:20Z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